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2017年全国高级导游等级考试大纲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全国高级导游等级考试分为中文（普通话）和英语两个语种。考试科目为《导游综合知识》和《导游能力测试》。中文（普通话）导游以中文命题，并以中文作答；英语导游以英语命题，并以英语作答。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一、考试目的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（一）导游综合知识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本科目主要考查考生对旅游政策与法律法规、与旅游相关的法律法规、导游业务、旅游文化等专业知识的了解、熟悉和掌握程度。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（二）导游能力测试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本科目主要考查考生综合运用旅游政策</w:t>
      </w:r>
      <w:r>
        <w:rPr>
          <w:rFonts w:hint="eastAsia" w:ascii="仿宋_GB2312" w:eastAsia="仿宋_GB2312"/>
          <w:color w:val="000000"/>
          <w:sz w:val="28"/>
          <w:szCs w:val="28"/>
        </w:rPr>
        <w:t>与法律法规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和导游相关知识</w:t>
      </w:r>
      <w:r>
        <w:rPr>
          <w:rFonts w:hint="eastAsia" w:ascii="仿宋_GB2312" w:eastAsia="仿宋_GB2312"/>
          <w:sz w:val="28"/>
          <w:szCs w:val="28"/>
        </w:rPr>
        <w:t>的能力。能够</w:t>
      </w:r>
      <w:r>
        <w:rPr>
          <w:rFonts w:hint="eastAsia" w:ascii="仿宋_GB2312" w:eastAsia="仿宋_GB2312"/>
          <w:sz w:val="28"/>
          <w:szCs w:val="28"/>
          <w:lang w:eastAsia="zh-CN"/>
        </w:rPr>
        <w:t>运用相关知识</w:t>
      </w:r>
      <w:r>
        <w:rPr>
          <w:rFonts w:hint="eastAsia" w:ascii="仿宋_GB2312" w:eastAsia="仿宋_GB2312"/>
          <w:sz w:val="28"/>
          <w:szCs w:val="28"/>
        </w:rPr>
        <w:t>对导游过程中遇到的各种问题进行深入分析，</w:t>
      </w:r>
      <w:r>
        <w:rPr>
          <w:rFonts w:hint="eastAsia" w:ascii="仿宋_GB2312" w:eastAsia="仿宋_GB2312"/>
          <w:sz w:val="28"/>
          <w:szCs w:val="28"/>
          <w:lang w:eastAsia="zh-CN"/>
        </w:rPr>
        <w:t>依法</w:t>
      </w:r>
      <w:r>
        <w:rPr>
          <w:rFonts w:hint="eastAsia" w:ascii="仿宋_GB2312" w:eastAsia="仿宋_GB2312"/>
          <w:sz w:val="28"/>
          <w:szCs w:val="28"/>
        </w:rPr>
        <w:t>灵活处理在导游过程中发生的突发事件，</w:t>
      </w:r>
      <w:r>
        <w:rPr>
          <w:rFonts w:hint="eastAsia" w:ascii="仿宋_GB2312" w:eastAsia="仿宋_GB2312"/>
          <w:sz w:val="28"/>
          <w:szCs w:val="28"/>
          <w:lang w:eastAsia="zh-CN"/>
        </w:rPr>
        <w:t>依据相关材料</w:t>
      </w:r>
      <w:r>
        <w:rPr>
          <w:rFonts w:hint="eastAsia" w:ascii="仿宋_GB2312" w:eastAsia="仿宋_GB2312"/>
          <w:sz w:val="28"/>
          <w:szCs w:val="28"/>
        </w:rPr>
        <w:t>创作出具有</w:t>
      </w:r>
      <w:r>
        <w:rPr>
          <w:rFonts w:hint="eastAsia" w:ascii="仿宋_GB2312" w:eastAsia="仿宋_GB2312"/>
          <w:sz w:val="28"/>
          <w:szCs w:val="28"/>
          <w:lang w:eastAsia="zh-CN"/>
        </w:rPr>
        <w:t>一定语言艺术水平</w:t>
      </w:r>
      <w:r>
        <w:rPr>
          <w:rFonts w:hint="eastAsia" w:ascii="仿宋_GB2312" w:eastAsia="仿宋_GB2312"/>
          <w:sz w:val="28"/>
          <w:szCs w:val="28"/>
        </w:rPr>
        <w:t>和较高文化内涵的导游词作品。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二、考试方式     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（一）导游综合知识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考试形式为闭卷笔试，考试时间为120分钟。考试题型包括判断题、填空题、单项选择题和多项选择题四种。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1.判断题：20题，每题1分，共20分。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2.填空题：30题，每题1分，共30分。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3.单项选择题：30题，每题1分，共30分。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4.多项选择题：20题，每题1分，共20分。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（二）导游能力测试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考试形式为闭卷笔试，考试时间为150分钟。考试题型包括案例分析题和导游词创作两种。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1.案例分析题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（1）旅游应急处理2题，每题10分，共20分。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（2）旅游纠纷处理3题，每题10分，共30分。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2.导游词创作，共50分。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三、考试内容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旅游政策与法律法规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1.《中共中央关于全面推进依法治国若干重大问题的决定》。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2.《国务院关于促进旅游业改革发展的若干意见》。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3.《中华人民共和国“十三五”旅游业发展规划》。</w:t>
      </w:r>
    </w:p>
    <w:p>
      <w:pPr>
        <w:numPr>
          <w:ilvl w:val="0"/>
          <w:numId w:val="2"/>
        </w:num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《国民旅游休闲纲要2013-2020》。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</w:pBdr>
        <w:wordWrap/>
        <w:ind w:firstLine="560" w:firstLineChars="200"/>
        <w:jc w:val="both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《</w: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begin"/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instrText xml:space="preserve"> HYPERLINK "http://www.cnta.gov.cn/zwgk/hybz/201506/t20150625_428200.shtml" \t "http://www.cnta.gov.cn/zwgk/hybz/_blank" </w:instrTex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t>旅行社国内旅游服务规范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》</w:t>
      </w:r>
      <w:r>
        <w:rPr>
          <w:rStyle w:val="7"/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t>（LB/T 004-2013）</w: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end"/>
      </w:r>
      <w:r>
        <w:rPr>
          <w:rFonts w:hint="eastAsia" w:ascii="仿宋_GB2312" w:eastAsia="仿宋_GB2312" w:cs="Times New Roman"/>
          <w:b w:val="0"/>
          <w:color w:val="000000"/>
          <w:sz w:val="28"/>
          <w:szCs w:val="28"/>
          <w:u w:val="none"/>
          <w:lang w:eastAsia="zh-CN"/>
        </w:rPr>
        <w:t>《</w: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begin"/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instrText xml:space="preserve"> HYPERLINK "http://www.cnta.gov.cn/zwgk/hybz/201506/t20150625_428199.shtml" \t "http://www.cnta.gov.cn/zwgk/hybz/_blank" </w:instrTex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t>旅行社入境旅游服务规范</w:t>
      </w:r>
      <w:r>
        <w:rPr>
          <w:rFonts w:hint="eastAsia" w:ascii="仿宋_GB2312" w:eastAsia="仿宋_GB2312" w:cs="Times New Roman"/>
          <w:b w:val="0"/>
          <w:color w:val="000000"/>
          <w:sz w:val="28"/>
          <w:szCs w:val="28"/>
          <w:u w:val="none"/>
          <w:lang w:eastAsia="zh-CN"/>
        </w:rPr>
        <w:t>》</w:t>
      </w:r>
      <w:r>
        <w:rPr>
          <w:rStyle w:val="7"/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t>（LB/T 009-2011）</w: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end"/>
      </w:r>
      <w:r>
        <w:rPr>
          <w:rFonts w:hint="eastAsia" w:ascii="仿宋_GB2312" w:eastAsia="仿宋_GB2312" w:cs="Times New Roman"/>
          <w:b w:val="0"/>
          <w:color w:val="000000"/>
          <w:sz w:val="28"/>
          <w:szCs w:val="28"/>
          <w:u w:val="none"/>
          <w:lang w:eastAsia="zh-CN"/>
        </w:rPr>
        <w:t>《</w: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begin"/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instrText xml:space="preserve"> HYPERLINK "http://www.cnta.gov.cn/zwgk/hybz/201506/t20150625_428198.shtml" \t "http://www.cnta.gov.cn/zwgk/hybz/_blank" </w:instrTex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t>旅行社出境旅游服务规范</w:t>
      </w:r>
      <w:r>
        <w:rPr>
          <w:rFonts w:hint="eastAsia" w:ascii="仿宋_GB2312" w:eastAsia="仿宋_GB2312" w:cs="Times New Roman"/>
          <w:b w:val="0"/>
          <w:color w:val="000000"/>
          <w:sz w:val="28"/>
          <w:szCs w:val="28"/>
          <w:u w:val="none"/>
          <w:lang w:eastAsia="zh-CN"/>
        </w:rPr>
        <w:t>》</w:t>
      </w:r>
      <w:r>
        <w:rPr>
          <w:rStyle w:val="7"/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t>（LB/T 005-2011）</w:t>
      </w:r>
      <w:r>
        <w:rPr>
          <w:rFonts w:hint="eastAsia" w:ascii="仿宋_GB2312" w:hAnsi="Times New Roman" w:eastAsia="仿宋_GB2312" w:cs="Times New Roman"/>
          <w:b w:val="0"/>
          <w:color w:val="000000"/>
          <w:sz w:val="28"/>
          <w:szCs w:val="28"/>
          <w:u w:val="none"/>
        </w:rPr>
        <w:fldChar w:fldCharType="end"/>
      </w:r>
      <w:r>
        <w:rPr>
          <w:rStyle w:val="6"/>
          <w:rFonts w:hint="eastAsia" w:ascii="仿宋_GB2312" w:hAnsi="Times New Roman" w:eastAsia="仿宋_GB2312" w:cs="Times New Roman"/>
          <w:i w:val="0"/>
          <w:color w:val="000000"/>
          <w:sz w:val="28"/>
          <w:szCs w:val="28"/>
          <w:lang w:val="en-US" w:eastAsia="zh-CN" w:bidi="ar"/>
        </w:rPr>
        <w:t>《导游服务规范》</w:t>
      </w:r>
      <w:r>
        <w:rPr>
          <w:rFonts w:hint="eastAsia" w:ascii="仿宋_GB2312" w:eastAsia="仿宋_GB2312" w:cs="Times New Roman"/>
          <w:i w:val="0"/>
          <w:color w:val="000000"/>
          <w:sz w:val="28"/>
          <w:szCs w:val="28"/>
          <w:lang w:val="en-US" w:eastAsia="zh-CN" w:bidi="ar"/>
        </w:rPr>
        <w:t>（</w:t>
      </w: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"/>
        </w:rPr>
        <w:t>GB/T 15971-2010</w:t>
      </w:r>
      <w:r>
        <w:rPr>
          <w:rFonts w:hint="eastAsia" w:ascii="仿宋_GB2312" w:eastAsia="仿宋_GB2312" w:cs="Times New Roman"/>
          <w:i w:val="0"/>
          <w:color w:val="000000"/>
          <w:sz w:val="28"/>
          <w:szCs w:val="28"/>
          <w:lang w:val="en-US" w:eastAsia="zh-CN" w:bidi="ar"/>
        </w:rPr>
        <w:t>）。</w:t>
      </w:r>
    </w:p>
    <w:p>
      <w:pPr>
        <w:pStyle w:val="4"/>
        <w:widowControl/>
        <w:wordWrap w:val="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6</w:t>
      </w:r>
      <w:r>
        <w:rPr>
          <w:rFonts w:hint="eastAsia" w:ascii="仿宋_GB2312" w:eastAsia="仿宋_GB2312"/>
          <w:sz w:val="28"/>
          <w:szCs w:val="28"/>
        </w:rPr>
        <w:t>.《中国公民国内旅游文明行为公约》《中国公民出境旅游文明行为指南》《导游领队引导文明旅游规范》（LB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</w:rPr>
        <w:t>T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039-2015）</w:t>
      </w:r>
      <w:r>
        <w:t>》</w:t>
      </w:r>
      <w:r>
        <w:rPr>
          <w:rFonts w:hint="eastAsia" w:ascii="仿宋_GB2312" w:eastAsia="仿宋_GB2312"/>
          <w:sz w:val="28"/>
          <w:szCs w:val="28"/>
        </w:rPr>
        <w:t>和国家旅游局发布的“文明旅游十大提醒语”。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.《中华人民共和国旅游法》以及国家旅游局关于执行旅游法的相关文件精神。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8.《旅行社条例》和《旅行社条例实施细则》。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.《导游人员管理条例》。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.《旅游投诉处理办法》。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.《旅游行政处罚办法》。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.《中华人民共和国合同法》。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.《中华人民共和国消费者权益保护法》。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.《中华人民共和国侵权责任法》。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.《中华人民共和国民事诉讼法》。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.《最高人民法院关于审理旅游纠纷案件适用法律若干问题的规定》（法释〔2010〕13号）。</w:t>
      </w:r>
    </w:p>
    <w:p>
      <w:pPr>
        <w:ind w:firstLine="560"/>
        <w:rPr>
          <w:rFonts w:hint="eastAsia" w:ascii="楷体_GB2312" w:eastAsia="楷体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</w:t>
      </w:r>
      <w:r>
        <w:rPr>
          <w:rFonts w:hint="eastAsia" w:ascii="宋体" w:hAnsi="宋体"/>
          <w:b/>
          <w:bCs/>
          <w:sz w:val="32"/>
          <w:szCs w:val="32"/>
        </w:rPr>
        <w:t>二</w:t>
      </w:r>
      <w:r>
        <w:rPr>
          <w:rFonts w:hint="eastAsia" w:ascii="仿宋_GB2312" w:eastAsia="仿宋_GB2312"/>
          <w:b/>
          <w:bCs/>
          <w:sz w:val="28"/>
          <w:szCs w:val="28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导游相关知识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1.掌握社会主义核心价值观和旅游行业核心价值观。 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2.熟悉我国基本国情、国策以及我国民族、外交、环保等政策。了解</w:t>
      </w:r>
      <w:r>
        <w:rPr>
          <w:rFonts w:hint="eastAsia" w:ascii="仿宋_GB2312" w:eastAsia="仿宋_GB2312"/>
          <w:sz w:val="28"/>
          <w:szCs w:val="28"/>
          <w:lang w:eastAsia="zh-CN"/>
        </w:rPr>
        <w:t>我国及</w:t>
      </w:r>
      <w:r>
        <w:rPr>
          <w:rFonts w:hint="eastAsia" w:ascii="仿宋_GB2312" w:eastAsia="仿宋_GB2312"/>
          <w:sz w:val="28"/>
          <w:szCs w:val="28"/>
        </w:rPr>
        <w:t>国际旅游业发展状况和发展趋势。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3.掌握旅游资源知识：中国旅游资源的基本分类和区域特征；中国主要地貌景观的审美特征；中国被列入《世界遗产名录》的遗产概况及全国5A级景区的基本概况。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sz w:val="28"/>
          <w:szCs w:val="28"/>
          <w:lang w:eastAsia="zh-CN"/>
        </w:rPr>
        <w:t>熟悉旅游者的类型及消费需求特点等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5.掌握我国宗教旅游的基本概况，能从教义、仪式、建筑、艺术等方面比较分析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不同</w:t>
      </w:r>
      <w:r>
        <w:rPr>
          <w:rFonts w:hint="eastAsia" w:ascii="仿宋_GB2312" w:eastAsia="仿宋_GB2312"/>
          <w:color w:val="000000"/>
          <w:sz w:val="28"/>
          <w:szCs w:val="28"/>
        </w:rPr>
        <w:t>宗教的文化内涵与价值取向。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6.掌握我国古代建筑的基本概况、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地域特征</w:t>
      </w:r>
      <w:r>
        <w:rPr>
          <w:rFonts w:hint="eastAsia" w:ascii="仿宋_GB2312" w:eastAsia="仿宋_GB2312"/>
          <w:color w:val="000000"/>
          <w:sz w:val="28"/>
          <w:szCs w:val="28"/>
        </w:rPr>
        <w:t>，能比较分析中西建筑文化的发展历史与不同风格。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7.掌握中国古典园林的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造园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理念与手法，熟悉中国、西亚和欧洲三种不同风格园林的特点与文化内涵。 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8.熟悉中国历史上著名的旅游文学艺术（旅游诗词、楹联、游记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color w:val="000000"/>
          <w:sz w:val="28"/>
          <w:szCs w:val="28"/>
        </w:rPr>
        <w:t>）的名家名作，能对其做比较深入的美学鉴赏。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9.掌握中国饮食文化的特点、内涵以及中西饮食文化的差异。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10.</w:t>
      </w:r>
      <w:r>
        <w:rPr>
          <w:rFonts w:hint="eastAsia" w:ascii="仿宋_GB2312" w:eastAsia="仿宋_GB2312"/>
          <w:sz w:val="28"/>
          <w:szCs w:val="28"/>
        </w:rPr>
        <w:t>熟悉旅游</w:t>
      </w:r>
      <w:r>
        <w:rPr>
          <w:rFonts w:hint="eastAsia" w:ascii="仿宋_GB2312" w:eastAsia="仿宋_GB2312"/>
          <w:sz w:val="28"/>
          <w:szCs w:val="28"/>
          <w:lang w:eastAsia="zh-CN"/>
        </w:rPr>
        <w:t>突发</w:t>
      </w:r>
      <w:r>
        <w:rPr>
          <w:rFonts w:hint="eastAsia" w:ascii="仿宋_GB2312" w:eastAsia="仿宋_GB2312"/>
          <w:sz w:val="28"/>
          <w:szCs w:val="28"/>
        </w:rPr>
        <w:t>事件的基本类型和相应的处理方法。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11.掌握旅游市场</w:t>
      </w:r>
      <w:r>
        <w:rPr>
          <w:rFonts w:hint="eastAsia" w:ascii="仿宋_GB2312" w:eastAsia="仿宋_GB2312"/>
          <w:sz w:val="28"/>
          <w:szCs w:val="28"/>
          <w:lang w:eastAsia="zh-CN"/>
        </w:rPr>
        <w:t>运行</w:t>
      </w:r>
      <w:r>
        <w:rPr>
          <w:rFonts w:hint="eastAsia" w:ascii="仿宋_GB2312" w:eastAsia="仿宋_GB2312"/>
          <w:sz w:val="28"/>
          <w:szCs w:val="28"/>
        </w:rPr>
        <w:t>规律</w:t>
      </w:r>
      <w:r>
        <w:rPr>
          <w:rFonts w:hint="eastAsia" w:ascii="仿宋_GB2312" w:eastAsia="仿宋_GB2312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分析旅游市场的基本方法。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12.掌握旅游投诉</w:t>
      </w:r>
      <w:r>
        <w:rPr>
          <w:rFonts w:hint="eastAsia" w:ascii="仿宋_GB2312" w:eastAsia="仿宋_GB2312"/>
          <w:sz w:val="28"/>
          <w:szCs w:val="28"/>
          <w:lang w:eastAsia="zh-CN"/>
        </w:rPr>
        <w:t>和纠纷</w:t>
      </w:r>
      <w:r>
        <w:rPr>
          <w:rFonts w:hint="eastAsia" w:ascii="仿宋_GB2312" w:eastAsia="仿宋_GB2312"/>
          <w:sz w:val="28"/>
          <w:szCs w:val="28"/>
        </w:rPr>
        <w:t>处理的原则与方法。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13.掌握旅游产品开发的原则和方法，可以根据不同的旅游团队设计相应的旅游产品。</w:t>
      </w: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14.熟悉旅行社运营、管理的</w:t>
      </w:r>
      <w:r>
        <w:rPr>
          <w:rFonts w:hint="eastAsia" w:ascii="仿宋_GB2312" w:eastAsia="仿宋_GB2312"/>
          <w:sz w:val="28"/>
          <w:szCs w:val="28"/>
          <w:lang w:eastAsia="zh-CN"/>
        </w:rPr>
        <w:t>相关知识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7C96"/>
    <w:multiLevelType w:val="singleLevel"/>
    <w:tmpl w:val="53797C96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43959D"/>
    <w:multiLevelType w:val="singleLevel"/>
    <w:tmpl w:val="5943959D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33C7A"/>
    <w:rsid w:val="7C633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color w:val="CC0000"/>
    </w:rPr>
  </w:style>
  <w:style w:type="character" w:styleId="7">
    <w:name w:val="Hyperlink"/>
    <w:uiPriority w:val="0"/>
    <w:rPr>
      <w:color w:val="715C5C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2017-06-28T01:39:00Z</dcterms:created>
  <dc:creator>HP</dc:creator>
  <cp:lastModifiedBy>HP</cp:lastModifiedBy>
  <dcterms:modified xsi:type="dcterms:W3CDTF">2017-06-28T01:41:04Z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